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25" w:rsidRDefault="00586125" w:rsidP="00586125">
      <w:pPr>
        <w:ind w:left="4956"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Приложение № 2</w:t>
      </w:r>
    </w:p>
    <w:p w:rsidR="00586125" w:rsidRDefault="00586125" w:rsidP="00586125">
      <w:pPr>
        <w:ind w:firstLine="6096"/>
        <w:jc w:val="both"/>
        <w:rPr>
          <w:spacing w:val="-4"/>
          <w:sz w:val="28"/>
          <w:szCs w:val="28"/>
        </w:rPr>
      </w:pPr>
    </w:p>
    <w:p w:rsidR="00586125" w:rsidRDefault="00586125" w:rsidP="00586125">
      <w:pPr>
        <w:pStyle w:val="ConsPlusNormal"/>
        <w:ind w:left="494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УТВЕРЖДЕНО</w:t>
      </w:r>
    </w:p>
    <w:p w:rsidR="00586125" w:rsidRDefault="00586125" w:rsidP="00586125">
      <w:pPr>
        <w:pStyle w:val="ConsPlusNormal"/>
        <w:ind w:left="720" w:firstLine="6096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586125" w:rsidRDefault="00586125" w:rsidP="00586125">
      <w:pPr>
        <w:pStyle w:val="ConsPlusNormal"/>
        <w:ind w:left="5652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постановлением Правительства Кировской области</w:t>
      </w:r>
    </w:p>
    <w:p w:rsidR="00586125" w:rsidRDefault="00326617" w:rsidP="00586125">
      <w:pPr>
        <w:pStyle w:val="ConsPlusNormal"/>
        <w:ind w:left="493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26617">
        <w:rPr>
          <w:rFonts w:ascii="Times New Roman" w:hAnsi="Times New Roman" w:cs="Times New Roman"/>
          <w:spacing w:val="-4"/>
          <w:sz w:val="28"/>
          <w:szCs w:val="28"/>
        </w:rPr>
        <w:t xml:space="preserve">от 16.10.2022 </w:t>
      </w:r>
      <w:r w:rsidR="00B63857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bookmarkStart w:id="0" w:name="_GoBack"/>
      <w:bookmarkEnd w:id="0"/>
      <w:r w:rsidRPr="00326617">
        <w:rPr>
          <w:rFonts w:ascii="Times New Roman" w:hAnsi="Times New Roman" w:cs="Times New Roman"/>
          <w:spacing w:val="-4"/>
          <w:sz w:val="28"/>
          <w:szCs w:val="28"/>
        </w:rPr>
        <w:t>№ 553-П</w:t>
      </w:r>
    </w:p>
    <w:p w:rsidR="00586125" w:rsidRDefault="00586125" w:rsidP="00586125">
      <w:pPr>
        <w:pStyle w:val="ConsPlusNormal"/>
        <w:ind w:left="4932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326617" w:rsidRDefault="00326617" w:rsidP="00586125">
      <w:pPr>
        <w:pStyle w:val="ConsPlusNormal"/>
        <w:ind w:left="4932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586125" w:rsidRPr="00D61B65" w:rsidRDefault="00586125" w:rsidP="00586125">
      <w:pPr>
        <w:jc w:val="center"/>
        <w:rPr>
          <w:b/>
          <w:sz w:val="28"/>
          <w:szCs w:val="28"/>
        </w:rPr>
      </w:pPr>
      <w:r w:rsidRPr="00D61B65">
        <w:rPr>
          <w:b/>
          <w:sz w:val="28"/>
          <w:szCs w:val="28"/>
        </w:rPr>
        <w:t>РАСПРЕДЕЛЕНИЕ</w:t>
      </w:r>
    </w:p>
    <w:p w:rsidR="00586125" w:rsidRDefault="00586125" w:rsidP="00586125">
      <w:pPr>
        <w:jc w:val="center"/>
        <w:rPr>
          <w:rFonts w:eastAsia="Calibri"/>
          <w:b/>
          <w:sz w:val="28"/>
          <w:szCs w:val="28"/>
        </w:rPr>
      </w:pPr>
      <w:proofErr w:type="gramStart"/>
      <w:r w:rsidRPr="00FE39EA">
        <w:rPr>
          <w:b/>
          <w:color w:val="000000"/>
          <w:sz w:val="28"/>
          <w:szCs w:val="28"/>
        </w:rPr>
        <w:t xml:space="preserve">дополнительных объемов </w:t>
      </w:r>
      <w:r w:rsidRPr="00FE39EA">
        <w:rPr>
          <w:rFonts w:eastAsia="Calibri"/>
          <w:b/>
          <w:sz w:val="28"/>
          <w:szCs w:val="28"/>
        </w:rPr>
        <w:t xml:space="preserve">иных межбюджетных трансфертов местным бюджетам из областного бюджета на ежемесячное денежное вознаграждение за классное руководство педагогическим работникам муниципальных общеобразовательных организаций, полученных при исполнении бюджета сверх </w:t>
      </w:r>
      <w:r w:rsidR="005B1673">
        <w:rPr>
          <w:rFonts w:eastAsia="Calibri"/>
          <w:b/>
          <w:sz w:val="28"/>
          <w:szCs w:val="28"/>
        </w:rPr>
        <w:t xml:space="preserve">объемов, </w:t>
      </w:r>
      <w:r w:rsidRPr="00FE39EA">
        <w:rPr>
          <w:rFonts w:eastAsia="Calibri"/>
          <w:b/>
          <w:sz w:val="28"/>
          <w:szCs w:val="28"/>
        </w:rPr>
        <w:t xml:space="preserve">утвержденных Законом Кировской области от 21.12.2021 № 25-ЗО «Об областном бюджете на 2022 год </w:t>
      </w:r>
      <w:r>
        <w:rPr>
          <w:rFonts w:eastAsia="Calibri"/>
          <w:b/>
          <w:sz w:val="28"/>
          <w:szCs w:val="28"/>
        </w:rPr>
        <w:br/>
      </w:r>
      <w:r w:rsidRPr="00FE39EA">
        <w:rPr>
          <w:rFonts w:eastAsia="Calibri"/>
          <w:b/>
          <w:sz w:val="28"/>
          <w:szCs w:val="28"/>
        </w:rPr>
        <w:t xml:space="preserve">и на плановый период 2023 и 2024 годов», на плановый период </w:t>
      </w:r>
      <w:r w:rsidR="00CA210B">
        <w:rPr>
          <w:rFonts w:eastAsia="Calibri"/>
          <w:b/>
          <w:sz w:val="28"/>
          <w:szCs w:val="28"/>
        </w:rPr>
        <w:br/>
      </w:r>
      <w:r w:rsidRPr="00FE39EA">
        <w:rPr>
          <w:rFonts w:eastAsia="Calibri"/>
          <w:b/>
          <w:sz w:val="28"/>
          <w:szCs w:val="28"/>
        </w:rPr>
        <w:t>2023 и 2024 годов</w:t>
      </w:r>
      <w:proofErr w:type="gramEnd"/>
    </w:p>
    <w:p w:rsidR="00586125" w:rsidRDefault="00586125" w:rsidP="0058612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843"/>
        <w:gridCol w:w="1843"/>
      </w:tblGrid>
      <w:tr w:rsidR="00F84D3B" w:rsidRPr="00186166" w:rsidTr="00F84D3B">
        <w:trPr>
          <w:trHeight w:val="590"/>
          <w:tblHeader/>
        </w:trPr>
        <w:tc>
          <w:tcPr>
            <w:tcW w:w="5778" w:type="dxa"/>
            <w:vMerge w:val="restart"/>
          </w:tcPr>
          <w:p w:rsidR="00F84D3B" w:rsidRPr="00186166" w:rsidRDefault="00F84D3B" w:rsidP="005B1673">
            <w:pPr>
              <w:jc w:val="center"/>
              <w:rPr>
                <w:sz w:val="28"/>
                <w:szCs w:val="28"/>
              </w:rPr>
            </w:pPr>
            <w:r w:rsidRPr="00186166">
              <w:rPr>
                <w:sz w:val="28"/>
                <w:szCs w:val="28"/>
              </w:rPr>
              <w:t xml:space="preserve">Наименование муниципального </w:t>
            </w:r>
            <w:r>
              <w:rPr>
                <w:sz w:val="28"/>
                <w:szCs w:val="28"/>
              </w:rPr>
              <w:br/>
              <w:t>образования Кировской области</w:t>
            </w:r>
          </w:p>
        </w:tc>
        <w:tc>
          <w:tcPr>
            <w:tcW w:w="3686" w:type="dxa"/>
            <w:gridSpan w:val="2"/>
          </w:tcPr>
          <w:p w:rsidR="00F84D3B" w:rsidRDefault="00F84D3B" w:rsidP="005B1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br/>
              <w:t>(тыс. рублей)</w:t>
            </w:r>
          </w:p>
          <w:p w:rsidR="00F84D3B" w:rsidRDefault="00F84D3B" w:rsidP="005B1673">
            <w:pPr>
              <w:jc w:val="center"/>
              <w:rPr>
                <w:sz w:val="28"/>
                <w:szCs w:val="28"/>
              </w:rPr>
            </w:pPr>
          </w:p>
        </w:tc>
      </w:tr>
      <w:tr w:rsidR="00F84D3B" w:rsidRPr="00186166" w:rsidTr="00F84D3B">
        <w:trPr>
          <w:trHeight w:val="480"/>
          <w:tblHeader/>
        </w:trPr>
        <w:tc>
          <w:tcPr>
            <w:tcW w:w="5778" w:type="dxa"/>
            <w:vMerge/>
          </w:tcPr>
          <w:p w:rsidR="00F84D3B" w:rsidRPr="00186166" w:rsidRDefault="00F84D3B" w:rsidP="005B1673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4D3B" w:rsidRPr="00186166" w:rsidRDefault="00F84D3B" w:rsidP="005B1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1843" w:type="dxa"/>
          </w:tcPr>
          <w:p w:rsidR="00F84D3B" w:rsidRPr="00186166" w:rsidRDefault="00F84D3B" w:rsidP="005B1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F84D3B" w:rsidTr="00F84D3B">
        <w:trPr>
          <w:trHeight w:val="428"/>
        </w:trPr>
        <w:tc>
          <w:tcPr>
            <w:tcW w:w="5778" w:type="dxa"/>
            <w:vAlign w:val="center"/>
          </w:tcPr>
          <w:p w:rsidR="00F84D3B" w:rsidRPr="00E114AD" w:rsidRDefault="00F84D3B" w:rsidP="005B1673">
            <w:pPr>
              <w:rPr>
                <w:color w:val="000000"/>
                <w:sz w:val="28"/>
                <w:szCs w:val="28"/>
              </w:rPr>
            </w:pPr>
            <w:r w:rsidRPr="00E114AD">
              <w:rPr>
                <w:color w:val="000000"/>
                <w:sz w:val="28"/>
                <w:szCs w:val="28"/>
              </w:rPr>
              <w:t>Город Киров</w:t>
            </w:r>
          </w:p>
        </w:tc>
        <w:tc>
          <w:tcPr>
            <w:tcW w:w="1843" w:type="dxa"/>
          </w:tcPr>
          <w:p w:rsidR="00F84D3B" w:rsidRDefault="00F84D3B" w:rsidP="005B16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4 855,0</w:t>
            </w:r>
          </w:p>
        </w:tc>
        <w:tc>
          <w:tcPr>
            <w:tcW w:w="1843" w:type="dxa"/>
          </w:tcPr>
          <w:p w:rsidR="00F84D3B" w:rsidRDefault="00F84D3B" w:rsidP="005B16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11 723,3</w:t>
            </w:r>
          </w:p>
        </w:tc>
      </w:tr>
      <w:tr w:rsidR="00F84D3B" w:rsidRPr="00186166" w:rsidTr="00F84D3B">
        <w:trPr>
          <w:trHeight w:val="428"/>
        </w:trPr>
        <w:tc>
          <w:tcPr>
            <w:tcW w:w="5778" w:type="dxa"/>
            <w:vAlign w:val="center"/>
          </w:tcPr>
          <w:p w:rsidR="00F84D3B" w:rsidRPr="00186166" w:rsidRDefault="00F84D3B" w:rsidP="005B1673">
            <w:pPr>
              <w:rPr>
                <w:sz w:val="28"/>
                <w:szCs w:val="28"/>
              </w:rPr>
            </w:pPr>
            <w:r w:rsidRPr="00186166">
              <w:rPr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F84D3B" w:rsidRDefault="00F84D3B" w:rsidP="005B16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4 855,0</w:t>
            </w:r>
          </w:p>
        </w:tc>
        <w:tc>
          <w:tcPr>
            <w:tcW w:w="1843" w:type="dxa"/>
          </w:tcPr>
          <w:p w:rsidR="00F84D3B" w:rsidRDefault="00F84D3B" w:rsidP="005B167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11 723,3</w:t>
            </w:r>
          </w:p>
        </w:tc>
      </w:tr>
    </w:tbl>
    <w:p w:rsidR="00586125" w:rsidRDefault="00586125" w:rsidP="00586125">
      <w:pPr>
        <w:pStyle w:val="ConsPlusNonformat"/>
        <w:widowControl/>
        <w:tabs>
          <w:tab w:val="left" w:pos="5387"/>
        </w:tabs>
        <w:spacing w:before="240" w:line="7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707098" w:rsidRDefault="00707098"/>
    <w:sectPr w:rsidR="00707098" w:rsidSect="00CA210B">
      <w:headerReference w:type="even" r:id="rId7"/>
      <w:headerReference w:type="default" r:id="rId8"/>
      <w:headerReference w:type="first" r:id="rId9"/>
      <w:pgSz w:w="11907" w:h="16840"/>
      <w:pgMar w:top="1077" w:right="851" w:bottom="1134" w:left="1701" w:header="720" w:footer="72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75D" w:rsidRDefault="008D275D" w:rsidP="00036E6B">
      <w:r>
        <w:separator/>
      </w:r>
    </w:p>
  </w:endnote>
  <w:endnote w:type="continuationSeparator" w:id="0">
    <w:p w:rsidR="008D275D" w:rsidRDefault="008D275D" w:rsidP="0003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75D" w:rsidRDefault="008D275D" w:rsidP="00036E6B">
      <w:r>
        <w:separator/>
      </w:r>
    </w:p>
  </w:footnote>
  <w:footnote w:type="continuationSeparator" w:id="0">
    <w:p w:rsidR="008D275D" w:rsidRDefault="008D275D" w:rsidP="00036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10B" w:rsidRDefault="003E10B3" w:rsidP="005B16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210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210B">
      <w:rPr>
        <w:rStyle w:val="a5"/>
        <w:noProof/>
      </w:rPr>
      <w:t>2</w:t>
    </w:r>
    <w:r>
      <w:rPr>
        <w:rStyle w:val="a5"/>
      </w:rPr>
      <w:fldChar w:fldCharType="end"/>
    </w:r>
  </w:p>
  <w:p w:rsidR="00CA210B" w:rsidRDefault="00CA21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10B" w:rsidRDefault="003E10B3" w:rsidP="005B16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210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6CC0">
      <w:rPr>
        <w:rStyle w:val="a5"/>
        <w:noProof/>
      </w:rPr>
      <w:t>2</w:t>
    </w:r>
    <w:r>
      <w:rPr>
        <w:rStyle w:val="a5"/>
      </w:rPr>
      <w:fldChar w:fldCharType="end"/>
    </w:r>
  </w:p>
  <w:p w:rsidR="00CA210B" w:rsidRDefault="00CA210B">
    <w:pPr>
      <w:pStyle w:val="a3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10B" w:rsidRDefault="00CA210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125"/>
    <w:rsid w:val="00036E6B"/>
    <w:rsid w:val="000501AB"/>
    <w:rsid w:val="000E2409"/>
    <w:rsid w:val="00326617"/>
    <w:rsid w:val="003E10B3"/>
    <w:rsid w:val="00586125"/>
    <w:rsid w:val="005B1673"/>
    <w:rsid w:val="00707098"/>
    <w:rsid w:val="008D275D"/>
    <w:rsid w:val="00B63857"/>
    <w:rsid w:val="00C33A31"/>
    <w:rsid w:val="00CA210B"/>
    <w:rsid w:val="00E63077"/>
    <w:rsid w:val="00F46CC0"/>
    <w:rsid w:val="00F8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6125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5861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86125"/>
  </w:style>
  <w:style w:type="paragraph" w:customStyle="1" w:styleId="ConsPlusNormal">
    <w:name w:val="ConsPlusNormal"/>
    <w:rsid w:val="005861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861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</dc:creator>
  <cp:lastModifiedBy>slobodina_ai</cp:lastModifiedBy>
  <cp:revision>5</cp:revision>
  <cp:lastPrinted>2022-10-06T12:32:00Z</cp:lastPrinted>
  <dcterms:created xsi:type="dcterms:W3CDTF">2022-09-12T13:07:00Z</dcterms:created>
  <dcterms:modified xsi:type="dcterms:W3CDTF">2022-10-17T14:57:00Z</dcterms:modified>
</cp:coreProperties>
</file>